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2020A6D5" w:rsidR="007760EB" w:rsidRPr="00FD2C26" w:rsidRDefault="00C57454" w:rsidP="001334FF">
      <w:pPr>
        <w:rPr>
          <w:rFonts w:asciiTheme="minorHAnsi" w:hAnsiTheme="minorHAnsi" w:cstheme="minorHAnsi"/>
          <w:i/>
          <w:iCs/>
          <w:color w:val="D20A10"/>
          <w:sz w:val="36"/>
          <w:szCs w:val="36"/>
        </w:rPr>
      </w:pPr>
      <w:r>
        <w:rPr>
          <w:rFonts w:asciiTheme="minorHAnsi" w:hAnsiTheme="minorHAnsi"/>
          <w:b/>
          <w:i/>
          <w:color w:val="D20A10"/>
          <w:sz w:val="36"/>
        </w:rPr>
        <w:t>Water als verbindend element</w:t>
      </w:r>
      <w:r>
        <w:rPr>
          <w:rFonts w:asciiTheme="minorHAnsi" w:hAnsiTheme="minorHAnsi"/>
          <w:b/>
          <w:i/>
          <w:color w:val="D20A10"/>
          <w:sz w:val="36"/>
        </w:rPr>
        <w:br/>
      </w:r>
      <w:r>
        <w:rPr>
          <w:rFonts w:asciiTheme="minorHAnsi" w:hAnsiTheme="minorHAnsi"/>
          <w:sz w:val="28"/>
        </w:rPr>
        <w:t>De firma Richard Brink levert drainage- en afwateringssystemen voor uniek nieuw wellnesscentrum</w:t>
      </w:r>
    </w:p>
    <w:p w14:paraId="44E42BB7" w14:textId="09531367" w:rsidR="00BA5418" w:rsidRPr="00FD2C26" w:rsidRDefault="00C55CBC" w:rsidP="007760EB">
      <w:pPr>
        <w:spacing w:line="360" w:lineRule="auto"/>
        <w:rPr>
          <w:rFonts w:asciiTheme="minorHAnsi" w:hAnsiTheme="minorHAnsi" w:cstheme="minorHAnsi"/>
          <w:b/>
          <w:sz w:val="24"/>
          <w:szCs w:val="24"/>
        </w:rPr>
      </w:pPr>
      <w:r>
        <w:rPr>
          <w:rFonts w:asciiTheme="minorHAnsi" w:hAnsiTheme="minorHAnsi"/>
          <w:sz w:val="24"/>
        </w:rPr>
        <w:br/>
        <w:t xml:space="preserve">Ischgl, </w:t>
      </w:r>
      <w:r w:rsidR="007C7807">
        <w:rPr>
          <w:rFonts w:asciiTheme="minorHAnsi" w:hAnsiTheme="minorHAnsi"/>
          <w:sz w:val="24"/>
        </w:rPr>
        <w:t>15</w:t>
      </w:r>
      <w:r>
        <w:rPr>
          <w:rFonts w:asciiTheme="minorHAnsi" w:hAnsiTheme="minorHAnsi"/>
          <w:sz w:val="24"/>
        </w:rPr>
        <w:t>-</w:t>
      </w:r>
      <w:r w:rsidR="007C7807">
        <w:rPr>
          <w:rFonts w:asciiTheme="minorHAnsi" w:hAnsiTheme="minorHAnsi"/>
          <w:sz w:val="24"/>
        </w:rPr>
        <w:t>10</w:t>
      </w:r>
      <w:r>
        <w:rPr>
          <w:rFonts w:asciiTheme="minorHAnsi" w:hAnsiTheme="minorHAnsi"/>
          <w:sz w:val="24"/>
        </w:rPr>
        <w:t>-2024</w:t>
      </w:r>
      <w:r>
        <w:rPr>
          <w:rFonts w:asciiTheme="minorHAnsi" w:hAnsiTheme="minorHAnsi"/>
          <w:b/>
          <w:sz w:val="24"/>
        </w:rPr>
        <w:br/>
        <w:t>Het door een bergpanorama omgeven Silvretta Therme Ischgl is dankzij het artistieke ontwerp en de buitengevel een architectonisch hoogstandje. Na een bouwperiode van drie jaar kunnen gasten in deze energiezuinige wellness-oase terecht voor zowel ontspanning als sport. Vanwege de ligging in de bergen maakte de installatie van hoogwaardige, maar ook op design gerichte afwateringssystemen deel uit van het totaalconcept. Er zijn diverse, deels op maat geproduceerde oplossingen uit het assortiment van Richard Brink GmbH &amp; Co. KG toegepast.</w:t>
      </w:r>
    </w:p>
    <w:p w14:paraId="722C9A18" w14:textId="4300E798" w:rsidR="0030696B" w:rsidRDefault="00311B41" w:rsidP="007760EB">
      <w:pPr>
        <w:spacing w:line="360" w:lineRule="auto"/>
        <w:rPr>
          <w:rFonts w:asciiTheme="minorHAnsi" w:hAnsiTheme="minorHAnsi" w:cstheme="minorHAnsi"/>
          <w:bCs/>
          <w:sz w:val="24"/>
          <w:szCs w:val="24"/>
        </w:rPr>
      </w:pPr>
      <w:r>
        <w:rPr>
          <w:rFonts w:asciiTheme="minorHAnsi" w:hAnsiTheme="minorHAnsi"/>
          <w:sz w:val="24"/>
        </w:rPr>
        <w:t>Het ontwerp van het wellnesscomplex van bijna 6.000 vierkante meter lijkt als een wolk aan de hellingen van het bergdal te hangen en geeft op de steeds hoger liggende verdiepingen ruimte aan activiteiten die overeenkomen met de verschijningsvormen ijs, water en stoom. Van buitenaf zal de toeschouwer vooral worden getroffen door de zwierige structuur van het gebouw. Deze wordt benadrukt door de champagnekleurige roestvrijstalen</w:t>
      </w:r>
      <w:r>
        <w:rPr>
          <w:rFonts w:asciiTheme="minorHAnsi" w:hAnsiTheme="minorHAnsi"/>
          <w:color w:val="000000" w:themeColor="text1"/>
          <w:sz w:val="24"/>
        </w:rPr>
        <w:t xml:space="preserve"> gevel die afhankelijk van de stand van de zon verschillende kleuren reflecteert. De ruim bemeten glazen gevels van het gebouwencomplex laten het interieur optisch doorlopen naar buiten en zorgen voor een directe verbinding met de bergachtige omgeving van het wellnesscentrum. De twee</w:t>
      </w:r>
      <w:r>
        <w:rPr>
          <w:rFonts w:asciiTheme="minorHAnsi" w:hAnsiTheme="minorHAnsi"/>
          <w:sz w:val="24"/>
        </w:rPr>
        <w:t xml:space="preserve"> delen van het gebouw bevatten faciliteiten voor iedere smaak, zoals een ijsbaan, sport- of buitenzwembad, saunavoorzieningen, een medische spa en nog veel meer. </w:t>
      </w:r>
    </w:p>
    <w:p w14:paraId="13B2C610" w14:textId="4AB711DA" w:rsidR="000F5756" w:rsidRDefault="000F5756" w:rsidP="007760EB">
      <w:pPr>
        <w:spacing w:line="360" w:lineRule="auto"/>
        <w:rPr>
          <w:rFonts w:asciiTheme="minorHAnsi" w:hAnsiTheme="minorHAnsi" w:cstheme="minorHAnsi"/>
          <w:bCs/>
          <w:sz w:val="24"/>
          <w:szCs w:val="24"/>
        </w:rPr>
      </w:pPr>
      <w:r>
        <w:rPr>
          <w:rFonts w:asciiTheme="minorHAnsi" w:hAnsiTheme="minorHAnsi"/>
          <w:sz w:val="24"/>
        </w:rPr>
        <w:t xml:space="preserve">De energievoorziening voor het hele concept van de nieuwbouw is gebaseerd op maximale duurzaamheid en fossielvrije bedrijfsvoering, want naast optimale isolatie is de Silvretta Therme ook voorzien van systemen voor </w:t>
      </w:r>
      <w:r>
        <w:rPr>
          <w:rFonts w:asciiTheme="minorHAnsi" w:hAnsiTheme="minorHAnsi"/>
          <w:sz w:val="24"/>
        </w:rPr>
        <w:lastRenderedPageBreak/>
        <w:t>warmteterugwinning. Bovendien wordt het hele gebouw, met uitzondering van de buitenzwembaden, verwarmd door aardwarmte. Dit werd mogelijk gemaakt dankzij het architectencollectief Krieger-Wimreiter, bestaande uit KRIEGER Architekten | Ingenieure GmbH uit Velbert en Wimreiter &amp; Partner GmbH uit Saalbach in Oostenrijk als algemene planners.</w:t>
      </w:r>
    </w:p>
    <w:p w14:paraId="5C51F08C" w14:textId="0E093A99" w:rsidR="000F5756" w:rsidRPr="00FD2C26" w:rsidRDefault="00C57454" w:rsidP="000F5756">
      <w:pPr>
        <w:spacing w:line="360" w:lineRule="auto"/>
        <w:rPr>
          <w:rFonts w:asciiTheme="minorHAnsi" w:hAnsiTheme="minorHAnsi" w:cstheme="minorHAnsi"/>
          <w:b/>
          <w:color w:val="D20A10"/>
          <w:sz w:val="24"/>
          <w:szCs w:val="24"/>
        </w:rPr>
      </w:pPr>
      <w:r>
        <w:rPr>
          <w:rFonts w:asciiTheme="minorHAnsi" w:hAnsiTheme="minorHAnsi"/>
          <w:b/>
          <w:color w:val="D20A10"/>
          <w:sz w:val="24"/>
        </w:rPr>
        <w:t>Ondanks het weer in de bergen</w:t>
      </w:r>
    </w:p>
    <w:p w14:paraId="217B5C67" w14:textId="0690AE8B" w:rsidR="00DD50A3" w:rsidRDefault="000F5756" w:rsidP="007760EB">
      <w:pPr>
        <w:spacing w:line="360" w:lineRule="auto"/>
        <w:rPr>
          <w:rFonts w:asciiTheme="minorHAnsi" w:hAnsiTheme="minorHAnsi" w:cstheme="minorHAnsi"/>
          <w:bCs/>
          <w:sz w:val="24"/>
          <w:szCs w:val="24"/>
        </w:rPr>
      </w:pPr>
      <w:r>
        <w:rPr>
          <w:rFonts w:asciiTheme="minorHAnsi" w:hAnsiTheme="minorHAnsi"/>
          <w:sz w:val="24"/>
        </w:rPr>
        <w:t xml:space="preserve">Vooral in het buitengebied kunnen de gasten op circa 2.500 vierkante meter genieten van het indrukwekkende natuurlandschap. De bestrating van zo'n 1.900 vierkante meter werd verzorgd door Ofenbau Tschiderer GmbH &amp; Co. KG uit Pians. Tijdens de werkzaamheden creëerde het bedrijf diverse drainage- en afwateringsoplossingen voor de terrassen. Want vanwege de ligging op de helling was het belangrijk dat er een efficiënt regenwaterbeheersysteem werd gepland en aangebracht. Daarnaast waren er ook producten nodig om de oprit en de ingang bestand te maken tegen zware belasting door arriverende gasten, leveranciers en eventuele sneeuwschuivers. </w:t>
      </w:r>
    </w:p>
    <w:p w14:paraId="295868C6" w14:textId="6EB8C0FB" w:rsidR="0009744D" w:rsidRDefault="0009744D" w:rsidP="007760EB">
      <w:pPr>
        <w:spacing w:line="360" w:lineRule="auto"/>
        <w:rPr>
          <w:rFonts w:asciiTheme="minorHAnsi" w:hAnsiTheme="minorHAnsi" w:cstheme="minorHAnsi"/>
          <w:bCs/>
          <w:sz w:val="24"/>
          <w:szCs w:val="24"/>
        </w:rPr>
      </w:pPr>
      <w:r>
        <w:rPr>
          <w:rFonts w:asciiTheme="minorHAnsi" w:hAnsiTheme="minorHAnsi"/>
          <w:sz w:val="24"/>
        </w:rPr>
        <w:t xml:space="preserve">Op basis van de jarenlange ervaring en goede samenwerking bij eerdere bouwprojecten kozen de aannemers voor producten van de firma Richard Brink. Voor Norbert Tschiderer was dit een vanzelfsprekende keuze: “Richard Brink GmbH &amp; Co. KG beschikt over een breed assortiment dat alle producten voor het project in Ischgl bevat. Dankzij de constant zeer goede kwaliteit van de afwerking en de mogelijkheid om producten op maat te laten maken, profiteren we op de bouwplaats van duidelijk kortere montagetijden.” </w:t>
      </w:r>
    </w:p>
    <w:p w14:paraId="3F5DF92F" w14:textId="50095F46" w:rsidR="0009744D" w:rsidRPr="0009744D" w:rsidRDefault="00C57454" w:rsidP="007760EB">
      <w:pPr>
        <w:spacing w:line="360" w:lineRule="auto"/>
        <w:rPr>
          <w:rFonts w:asciiTheme="minorHAnsi" w:hAnsiTheme="minorHAnsi" w:cstheme="minorHAnsi"/>
          <w:b/>
          <w:color w:val="D20A10"/>
          <w:sz w:val="24"/>
          <w:szCs w:val="24"/>
        </w:rPr>
      </w:pPr>
      <w:r>
        <w:rPr>
          <w:rFonts w:asciiTheme="minorHAnsi" w:hAnsiTheme="minorHAnsi"/>
          <w:b/>
          <w:color w:val="D20A10"/>
          <w:sz w:val="24"/>
        </w:rPr>
        <w:t>Veelzijdige oplossingen van één leverancier</w:t>
      </w:r>
    </w:p>
    <w:p w14:paraId="7918357E" w14:textId="68055E25" w:rsidR="0009744D" w:rsidRDefault="0009744D" w:rsidP="007760EB">
      <w:pPr>
        <w:spacing w:line="360" w:lineRule="auto"/>
        <w:rPr>
          <w:rFonts w:asciiTheme="minorHAnsi" w:hAnsiTheme="minorHAnsi" w:cstheme="minorHAnsi"/>
          <w:bCs/>
          <w:sz w:val="24"/>
          <w:szCs w:val="24"/>
        </w:rPr>
      </w:pPr>
      <w:r>
        <w:rPr>
          <w:rFonts w:asciiTheme="minorHAnsi" w:hAnsiTheme="minorHAnsi"/>
          <w:sz w:val="24"/>
        </w:rPr>
        <w:t xml:space="preserve">De metaalwarenfabrikant leverde allerlei producten, variërend van drainagegoten en goten met dubbele sleuven van roestvrij staal, zijkanalen, drainageputten tot zwaar belastbare schachtafdekkingen. Bij de hoofdingang </w:t>
      </w:r>
      <w:r>
        <w:rPr>
          <w:rFonts w:asciiTheme="minorHAnsi" w:hAnsiTheme="minorHAnsi"/>
          <w:sz w:val="24"/>
        </w:rPr>
        <w:lastRenderedPageBreak/>
        <w:t xml:space="preserve">zorgt een gootdrager, bestaande uit de “Gemini Magna”-goot met dubbele sleuf, voor een functionele en berijdbare afwatering van het gebied. De goot is een combinatie van een steenschaal en het gootelement. De steenschaal kan via schroefverbindingen aan de goot worden bevestigd en daarvan worden losgehaald en is daarom volledig inspecteerbaar. </w:t>
      </w:r>
    </w:p>
    <w:p w14:paraId="5F95E007" w14:textId="7784BFB1" w:rsidR="00DF5E8E" w:rsidRDefault="002E1B52" w:rsidP="002E1B52">
      <w:pPr>
        <w:spacing w:line="360" w:lineRule="auto"/>
        <w:rPr>
          <w:rFonts w:asciiTheme="minorHAnsi" w:hAnsiTheme="minorHAnsi" w:cstheme="minorHAnsi"/>
          <w:bCs/>
          <w:sz w:val="24"/>
          <w:szCs w:val="24"/>
        </w:rPr>
      </w:pPr>
      <w:r>
        <w:rPr>
          <w:rFonts w:asciiTheme="minorHAnsi" w:hAnsiTheme="minorHAnsi"/>
          <w:sz w:val="24"/>
        </w:rPr>
        <w:t>Op dezelfde locatie werden twee kanaalschachten afgedekt met de “Solid”-schachtafdekkingen van de metaalwarenfabrikant in een voor vrachtwagens berijdbare uitvoering. Deze bestaan uit het frame en de standaard bestratingsschaal van 80 mm hoog. Deze laatste wordt als afdekking op het frame geplaatst, waaruit water via drainagegaten kan weglopen. Daarin worden de bestaande bestratingstegels vastgelijmd of met een onderbouw aangebracht zodat een gelijkmatig oppervlak ontstaat. De schachtafdekking wordt afgerond door flenzen die aan de buitenkant de bestratingstegels omsluiten en aan de binnenkant fungeren als steunvlak voor de bestratingsschaal, voorzien van een EPDM-afdichting die beschermt tegen vocht en geur.</w:t>
      </w:r>
    </w:p>
    <w:p w14:paraId="26986645" w14:textId="77777777" w:rsidR="00077D59" w:rsidRDefault="00C57454" w:rsidP="00287CAD">
      <w:pPr>
        <w:spacing w:line="360" w:lineRule="auto"/>
        <w:rPr>
          <w:rFonts w:asciiTheme="minorHAnsi" w:hAnsiTheme="minorHAnsi" w:cstheme="minorHAnsi"/>
          <w:b/>
          <w:color w:val="D20A10"/>
          <w:sz w:val="24"/>
          <w:szCs w:val="24"/>
        </w:rPr>
      </w:pPr>
      <w:r>
        <w:rPr>
          <w:rFonts w:asciiTheme="minorHAnsi" w:hAnsiTheme="minorHAnsi"/>
          <w:b/>
          <w:color w:val="D20A10"/>
          <w:sz w:val="24"/>
        </w:rPr>
        <w:t>Gedetailleerde planning als garantie voor succes</w:t>
      </w:r>
    </w:p>
    <w:p w14:paraId="503B5CD8" w14:textId="5AA5D2E4" w:rsidR="007A1C89" w:rsidRPr="00077D59" w:rsidRDefault="004027A3" w:rsidP="00287CAD">
      <w:pPr>
        <w:spacing w:line="360" w:lineRule="auto"/>
        <w:rPr>
          <w:rFonts w:asciiTheme="minorHAnsi" w:hAnsiTheme="minorHAnsi" w:cstheme="minorHAnsi"/>
          <w:b/>
          <w:color w:val="D20A10"/>
          <w:sz w:val="24"/>
          <w:szCs w:val="24"/>
        </w:rPr>
      </w:pPr>
      <w:r>
        <w:rPr>
          <w:rFonts w:asciiTheme="minorHAnsi" w:hAnsiTheme="minorHAnsi"/>
          <w:sz w:val="24"/>
        </w:rPr>
        <w:t xml:space="preserve">De drainagegoten van het type "Hydra" werden zowel bij de drempel van de entree als langs verschillende deurgedeeltes bij de buitenterrassen van het buitenbad aangebracht. Dankzij de traploze hoogteverstelling was het mogelijk om de drainagegoten met slechts enkele handgrepen aan te passen aan de omstandigheden ter plekke en een barrièrevrije overgang te creëren tussen het binnen- en buitengebied. Optisch aantrekkelijke roestvrijstalen roosters die op de afmetingen van de goot zijn afgestemd, geven de drainagegoten een tijdloze, elegante afwerking die ook nog probleemloos begaanbaar is. </w:t>
      </w:r>
    </w:p>
    <w:p w14:paraId="777C1588" w14:textId="3E2199ED" w:rsidR="00794313" w:rsidRPr="00794313" w:rsidRDefault="00A8326C" w:rsidP="00794313">
      <w:pPr>
        <w:spacing w:line="360" w:lineRule="auto"/>
        <w:rPr>
          <w:rFonts w:asciiTheme="minorHAnsi" w:hAnsiTheme="minorHAnsi" w:cstheme="minorHAnsi"/>
          <w:bCs/>
          <w:sz w:val="24"/>
          <w:szCs w:val="24"/>
        </w:rPr>
      </w:pPr>
      <w:r>
        <w:rPr>
          <w:rFonts w:asciiTheme="minorHAnsi" w:hAnsiTheme="minorHAnsi"/>
          <w:sz w:val="24"/>
        </w:rPr>
        <w:t xml:space="preserve">Op het bestratingsvlak werden in totaal 47 roestvrijstalen drainageputten aan de drainagegoten toegevoegd en ook deze werden bedekt met </w:t>
      </w:r>
      <w:r>
        <w:rPr>
          <w:rFonts w:asciiTheme="minorHAnsi" w:hAnsiTheme="minorHAnsi"/>
          <w:sz w:val="24"/>
        </w:rPr>
        <w:lastRenderedPageBreak/>
        <w:t>langsstaafroosters van 7 x 7 mm. De “Subterra”-zijkanalen leiden het regenwater over een afstand van in totaal 216 strekkende meter onder de bestrating gericht naar de afvoeren. Dankzij het volledige systeem van de metaalwarenfabrikant is een hoogwaardig en efficiënt regenwaterbeheer gewaarborgd, wat een weerspiegeling is van de gedetailleerde planning en samenwerking van alle betrokken vakmensen.</w:t>
      </w:r>
    </w:p>
    <w:p w14:paraId="51D0C6C9" w14:textId="64D8AA86" w:rsidR="001A053B" w:rsidRPr="00FD2C26" w:rsidRDefault="006B15AF" w:rsidP="005B1417">
      <w:pPr>
        <w:spacing w:line="360" w:lineRule="auto"/>
        <w:rPr>
          <w:rFonts w:asciiTheme="minorHAnsi" w:hAnsiTheme="minorHAnsi" w:cstheme="minorHAnsi"/>
          <w:b/>
          <w:sz w:val="24"/>
          <w:szCs w:val="24"/>
        </w:rPr>
      </w:pPr>
      <w:r>
        <w:rPr>
          <w:rFonts w:asciiTheme="minorHAnsi" w:hAnsiTheme="minorHAnsi"/>
          <w:b/>
          <w:sz w:val="24"/>
        </w:rPr>
        <w:t>(ca. 5.630 tekens)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6F56DF77" w14:textId="01582666"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241208F6" w14:textId="69FA6E83" w:rsidR="007E6042" w:rsidRPr="00C57454" w:rsidRDefault="007651F2" w:rsidP="00C57454">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sectPr w:rsidR="007E6042" w:rsidRPr="00C57454"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3621" w14:textId="77777777" w:rsidR="006818AD" w:rsidRDefault="006818AD" w:rsidP="002D5283">
      <w:pPr>
        <w:spacing w:after="0" w:line="240" w:lineRule="auto"/>
      </w:pPr>
      <w:r>
        <w:separator/>
      </w:r>
    </w:p>
  </w:endnote>
  <w:endnote w:type="continuationSeparator" w:id="0">
    <w:p w14:paraId="20BE6E0A" w14:textId="77777777" w:rsidR="006818AD" w:rsidRDefault="006818AD"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0B2D" w14:textId="77777777" w:rsidR="00FD6444" w:rsidRDefault="00FD64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6818AD">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Uitgever: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Plaatsvervangend marketingmanager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8A30" w14:textId="77777777" w:rsidR="00FD6444" w:rsidRDefault="00FD64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41DC" w14:textId="77777777" w:rsidR="006818AD" w:rsidRDefault="006818AD" w:rsidP="002D5283">
      <w:pPr>
        <w:spacing w:after="0" w:line="240" w:lineRule="auto"/>
      </w:pPr>
      <w:r>
        <w:separator/>
      </w:r>
    </w:p>
  </w:footnote>
  <w:footnote w:type="continuationSeparator" w:id="0">
    <w:p w14:paraId="7781B169" w14:textId="77777777" w:rsidR="006818AD" w:rsidRDefault="006818AD"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5906" w14:textId="77777777" w:rsidR="00FD6444" w:rsidRDefault="00FD64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6818AD">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7E344D53" w:rsidR="00EE7ED8" w:rsidRPr="00FD2C26" w:rsidRDefault="002C34B5" w:rsidP="007D13EF">
    <w:pPr>
      <w:pStyle w:val="Kopfzeile"/>
      <w:rPr>
        <w:rFonts w:asciiTheme="minorHAnsi" w:hAnsiTheme="minorHAnsi" w:cstheme="minorHAnsi"/>
        <w:color w:val="808080"/>
        <w:sz w:val="52"/>
        <w:szCs w:val="52"/>
      </w:rPr>
    </w:pPr>
    <w:r>
      <w:rPr>
        <w:rFonts w:asciiTheme="minorHAnsi" w:hAnsiTheme="minorHAnsi"/>
        <w:color w:val="808080"/>
        <w:sz w:val="52"/>
      </w:rPr>
      <w:t>Referentierapport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CA57" w14:textId="77777777" w:rsidR="00FD6444" w:rsidRDefault="00FD644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77D59"/>
    <w:rsid w:val="00082057"/>
    <w:rsid w:val="000823EE"/>
    <w:rsid w:val="00084728"/>
    <w:rsid w:val="00084D95"/>
    <w:rsid w:val="00086ABC"/>
    <w:rsid w:val="00087257"/>
    <w:rsid w:val="00091F3E"/>
    <w:rsid w:val="000925A2"/>
    <w:rsid w:val="000927B1"/>
    <w:rsid w:val="00092A89"/>
    <w:rsid w:val="00092DDD"/>
    <w:rsid w:val="0009453D"/>
    <w:rsid w:val="00096DCF"/>
    <w:rsid w:val="0009744D"/>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5756"/>
    <w:rsid w:val="000F5F5B"/>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57DB"/>
    <w:rsid w:val="001775A5"/>
    <w:rsid w:val="00180F1C"/>
    <w:rsid w:val="0018106A"/>
    <w:rsid w:val="00182097"/>
    <w:rsid w:val="0018249B"/>
    <w:rsid w:val="0018295D"/>
    <w:rsid w:val="00182EC8"/>
    <w:rsid w:val="00183DBD"/>
    <w:rsid w:val="001844B7"/>
    <w:rsid w:val="00185969"/>
    <w:rsid w:val="0018645C"/>
    <w:rsid w:val="00187B7E"/>
    <w:rsid w:val="00190F1A"/>
    <w:rsid w:val="00191CE5"/>
    <w:rsid w:val="0019245E"/>
    <w:rsid w:val="0019254A"/>
    <w:rsid w:val="00195692"/>
    <w:rsid w:val="00197F2B"/>
    <w:rsid w:val="001A053B"/>
    <w:rsid w:val="001A2779"/>
    <w:rsid w:val="001A2B8E"/>
    <w:rsid w:val="001A41F9"/>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2747"/>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87CAD"/>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2C"/>
    <w:rsid w:val="002B476C"/>
    <w:rsid w:val="002B4889"/>
    <w:rsid w:val="002B6E99"/>
    <w:rsid w:val="002C2987"/>
    <w:rsid w:val="002C34B5"/>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B52"/>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96B"/>
    <w:rsid w:val="00306E15"/>
    <w:rsid w:val="00311B41"/>
    <w:rsid w:val="00314280"/>
    <w:rsid w:val="00314789"/>
    <w:rsid w:val="00314A52"/>
    <w:rsid w:val="003150B8"/>
    <w:rsid w:val="003153A7"/>
    <w:rsid w:val="003168E4"/>
    <w:rsid w:val="00316F15"/>
    <w:rsid w:val="003225A2"/>
    <w:rsid w:val="00322F59"/>
    <w:rsid w:val="0032344F"/>
    <w:rsid w:val="00326E79"/>
    <w:rsid w:val="0032738B"/>
    <w:rsid w:val="00327872"/>
    <w:rsid w:val="003300B1"/>
    <w:rsid w:val="00330AC7"/>
    <w:rsid w:val="0033208A"/>
    <w:rsid w:val="0033305B"/>
    <w:rsid w:val="00333132"/>
    <w:rsid w:val="00334B14"/>
    <w:rsid w:val="0033527C"/>
    <w:rsid w:val="00335B47"/>
    <w:rsid w:val="0033733D"/>
    <w:rsid w:val="003407DA"/>
    <w:rsid w:val="00341D8C"/>
    <w:rsid w:val="00342400"/>
    <w:rsid w:val="00343107"/>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0C1"/>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27A3"/>
    <w:rsid w:val="00403511"/>
    <w:rsid w:val="00403D67"/>
    <w:rsid w:val="00404A13"/>
    <w:rsid w:val="00405401"/>
    <w:rsid w:val="00407702"/>
    <w:rsid w:val="00407C2A"/>
    <w:rsid w:val="00411440"/>
    <w:rsid w:val="00411BEB"/>
    <w:rsid w:val="00411E1E"/>
    <w:rsid w:val="0041266D"/>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12C"/>
    <w:rsid w:val="00427E51"/>
    <w:rsid w:val="00430825"/>
    <w:rsid w:val="00430FA4"/>
    <w:rsid w:val="004322B1"/>
    <w:rsid w:val="00432D1E"/>
    <w:rsid w:val="00433372"/>
    <w:rsid w:val="00434B2C"/>
    <w:rsid w:val="004404FB"/>
    <w:rsid w:val="0044169F"/>
    <w:rsid w:val="00441E0F"/>
    <w:rsid w:val="0044335B"/>
    <w:rsid w:val="00446305"/>
    <w:rsid w:val="00446C0D"/>
    <w:rsid w:val="00447819"/>
    <w:rsid w:val="00450C97"/>
    <w:rsid w:val="00450E04"/>
    <w:rsid w:val="00452FCF"/>
    <w:rsid w:val="00453CA8"/>
    <w:rsid w:val="00453CC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C2C"/>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40DF"/>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15C36"/>
    <w:rsid w:val="00520A98"/>
    <w:rsid w:val="005218F3"/>
    <w:rsid w:val="0052247E"/>
    <w:rsid w:val="00523D08"/>
    <w:rsid w:val="00525FDF"/>
    <w:rsid w:val="005260B2"/>
    <w:rsid w:val="005279C2"/>
    <w:rsid w:val="0053102C"/>
    <w:rsid w:val="00533D7F"/>
    <w:rsid w:val="00536179"/>
    <w:rsid w:val="0054137E"/>
    <w:rsid w:val="00541B21"/>
    <w:rsid w:val="005440C7"/>
    <w:rsid w:val="00547418"/>
    <w:rsid w:val="00551058"/>
    <w:rsid w:val="005513AF"/>
    <w:rsid w:val="00552DC3"/>
    <w:rsid w:val="0055364D"/>
    <w:rsid w:val="00553ABC"/>
    <w:rsid w:val="00554212"/>
    <w:rsid w:val="00555CDE"/>
    <w:rsid w:val="00557254"/>
    <w:rsid w:val="00565BDB"/>
    <w:rsid w:val="00565C84"/>
    <w:rsid w:val="0056740E"/>
    <w:rsid w:val="00567D47"/>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5951"/>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B7D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6C3C"/>
    <w:rsid w:val="00667071"/>
    <w:rsid w:val="006709C9"/>
    <w:rsid w:val="00671AE0"/>
    <w:rsid w:val="006727FB"/>
    <w:rsid w:val="00672D4E"/>
    <w:rsid w:val="006732AE"/>
    <w:rsid w:val="006736AA"/>
    <w:rsid w:val="00674335"/>
    <w:rsid w:val="00675BC2"/>
    <w:rsid w:val="00675E75"/>
    <w:rsid w:val="006770E0"/>
    <w:rsid w:val="006818AD"/>
    <w:rsid w:val="00682E5E"/>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2951"/>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4313"/>
    <w:rsid w:val="007964C4"/>
    <w:rsid w:val="00796FAC"/>
    <w:rsid w:val="007A0582"/>
    <w:rsid w:val="007A1C27"/>
    <w:rsid w:val="007A1C89"/>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C7807"/>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1851"/>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2900"/>
    <w:rsid w:val="0083307B"/>
    <w:rsid w:val="00834BC4"/>
    <w:rsid w:val="00836075"/>
    <w:rsid w:val="008369AA"/>
    <w:rsid w:val="008373D3"/>
    <w:rsid w:val="00840663"/>
    <w:rsid w:val="00842230"/>
    <w:rsid w:val="00842968"/>
    <w:rsid w:val="0084317B"/>
    <w:rsid w:val="00843806"/>
    <w:rsid w:val="00843F60"/>
    <w:rsid w:val="00843FA3"/>
    <w:rsid w:val="00846EDC"/>
    <w:rsid w:val="0084742E"/>
    <w:rsid w:val="00847755"/>
    <w:rsid w:val="008517BD"/>
    <w:rsid w:val="008520DA"/>
    <w:rsid w:val="0085313A"/>
    <w:rsid w:val="00853C4D"/>
    <w:rsid w:val="00855095"/>
    <w:rsid w:val="00861450"/>
    <w:rsid w:val="00862A46"/>
    <w:rsid w:val="00862B2D"/>
    <w:rsid w:val="00862E8F"/>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2F8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95626"/>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4215"/>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26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C7869"/>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5EE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2A2C"/>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83A"/>
    <w:rsid w:val="00BE2B94"/>
    <w:rsid w:val="00BE39C3"/>
    <w:rsid w:val="00BE3CB3"/>
    <w:rsid w:val="00BE762D"/>
    <w:rsid w:val="00BF010C"/>
    <w:rsid w:val="00BF1832"/>
    <w:rsid w:val="00BF1D9B"/>
    <w:rsid w:val="00BF32D0"/>
    <w:rsid w:val="00BF4258"/>
    <w:rsid w:val="00BF589D"/>
    <w:rsid w:val="00BF638C"/>
    <w:rsid w:val="00BF7F2F"/>
    <w:rsid w:val="00C02739"/>
    <w:rsid w:val="00C043A9"/>
    <w:rsid w:val="00C05183"/>
    <w:rsid w:val="00C05C76"/>
    <w:rsid w:val="00C05FCD"/>
    <w:rsid w:val="00C06F59"/>
    <w:rsid w:val="00C06FC7"/>
    <w:rsid w:val="00C076EC"/>
    <w:rsid w:val="00C10243"/>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57454"/>
    <w:rsid w:val="00C62910"/>
    <w:rsid w:val="00C639DE"/>
    <w:rsid w:val="00C63B9A"/>
    <w:rsid w:val="00C63CAA"/>
    <w:rsid w:val="00C65677"/>
    <w:rsid w:val="00C66CB7"/>
    <w:rsid w:val="00C71EA6"/>
    <w:rsid w:val="00C76221"/>
    <w:rsid w:val="00C77294"/>
    <w:rsid w:val="00C77A01"/>
    <w:rsid w:val="00C77A8D"/>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1A25"/>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3AE"/>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23C"/>
    <w:rsid w:val="00CF65CF"/>
    <w:rsid w:val="00CF743D"/>
    <w:rsid w:val="00CF7DEE"/>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8A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07B"/>
    <w:rsid w:val="00D678B1"/>
    <w:rsid w:val="00D67C3F"/>
    <w:rsid w:val="00D7100A"/>
    <w:rsid w:val="00D718EA"/>
    <w:rsid w:val="00D71DF8"/>
    <w:rsid w:val="00D72499"/>
    <w:rsid w:val="00D72DDE"/>
    <w:rsid w:val="00D757AB"/>
    <w:rsid w:val="00D75C3E"/>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35FB"/>
    <w:rsid w:val="00DA441E"/>
    <w:rsid w:val="00DA57E1"/>
    <w:rsid w:val="00DA5B1D"/>
    <w:rsid w:val="00DA60A9"/>
    <w:rsid w:val="00DA64C8"/>
    <w:rsid w:val="00DA6639"/>
    <w:rsid w:val="00DA7C05"/>
    <w:rsid w:val="00DA7E81"/>
    <w:rsid w:val="00DB0880"/>
    <w:rsid w:val="00DB0DAA"/>
    <w:rsid w:val="00DB0DB5"/>
    <w:rsid w:val="00DB0E8C"/>
    <w:rsid w:val="00DB3309"/>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0A3"/>
    <w:rsid w:val="00DD5F36"/>
    <w:rsid w:val="00DD6880"/>
    <w:rsid w:val="00DD79D2"/>
    <w:rsid w:val="00DE259C"/>
    <w:rsid w:val="00DE40B6"/>
    <w:rsid w:val="00DE59F8"/>
    <w:rsid w:val="00DE6278"/>
    <w:rsid w:val="00DF062E"/>
    <w:rsid w:val="00DF3A97"/>
    <w:rsid w:val="00DF3F20"/>
    <w:rsid w:val="00DF4EB2"/>
    <w:rsid w:val="00DF5E8E"/>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2B06"/>
    <w:rsid w:val="00E33BB2"/>
    <w:rsid w:val="00E34AE6"/>
    <w:rsid w:val="00E34DF9"/>
    <w:rsid w:val="00E369E9"/>
    <w:rsid w:val="00E37CD4"/>
    <w:rsid w:val="00E400D3"/>
    <w:rsid w:val="00E40ECB"/>
    <w:rsid w:val="00E41938"/>
    <w:rsid w:val="00E442B2"/>
    <w:rsid w:val="00E46BBD"/>
    <w:rsid w:val="00E47340"/>
    <w:rsid w:val="00E47F03"/>
    <w:rsid w:val="00E52853"/>
    <w:rsid w:val="00E54647"/>
    <w:rsid w:val="00E57143"/>
    <w:rsid w:val="00E623C6"/>
    <w:rsid w:val="00E6249E"/>
    <w:rsid w:val="00E671B6"/>
    <w:rsid w:val="00E72327"/>
    <w:rsid w:val="00E73BCC"/>
    <w:rsid w:val="00E75FBC"/>
    <w:rsid w:val="00E80322"/>
    <w:rsid w:val="00E80BE9"/>
    <w:rsid w:val="00E80E66"/>
    <w:rsid w:val="00E8210B"/>
    <w:rsid w:val="00E826EB"/>
    <w:rsid w:val="00E83406"/>
    <w:rsid w:val="00E83B2E"/>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23DE"/>
    <w:rsid w:val="00EC4D93"/>
    <w:rsid w:val="00EC7CA8"/>
    <w:rsid w:val="00ED05E1"/>
    <w:rsid w:val="00ED4836"/>
    <w:rsid w:val="00ED4972"/>
    <w:rsid w:val="00ED52AD"/>
    <w:rsid w:val="00ED5794"/>
    <w:rsid w:val="00ED65D3"/>
    <w:rsid w:val="00ED6B5D"/>
    <w:rsid w:val="00ED7BE8"/>
    <w:rsid w:val="00EE0F79"/>
    <w:rsid w:val="00EE12EC"/>
    <w:rsid w:val="00EE1B51"/>
    <w:rsid w:val="00EE1F68"/>
    <w:rsid w:val="00EE267D"/>
    <w:rsid w:val="00EE34C6"/>
    <w:rsid w:val="00EE53CF"/>
    <w:rsid w:val="00EE5764"/>
    <w:rsid w:val="00EE5E4E"/>
    <w:rsid w:val="00EE6034"/>
    <w:rsid w:val="00EE64DA"/>
    <w:rsid w:val="00EE6DF8"/>
    <w:rsid w:val="00EE7ED8"/>
    <w:rsid w:val="00EF01B0"/>
    <w:rsid w:val="00EF0339"/>
    <w:rsid w:val="00EF1585"/>
    <w:rsid w:val="00EF1E2F"/>
    <w:rsid w:val="00EF3C08"/>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5BC3"/>
    <w:rsid w:val="00F16C28"/>
    <w:rsid w:val="00F21758"/>
    <w:rsid w:val="00F21F33"/>
    <w:rsid w:val="00F23967"/>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579C6"/>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B6B84"/>
    <w:rsid w:val="00FC137E"/>
    <w:rsid w:val="00FC22F4"/>
    <w:rsid w:val="00FC34BE"/>
    <w:rsid w:val="00FC3761"/>
    <w:rsid w:val="00FC59B8"/>
    <w:rsid w:val="00FC6D73"/>
    <w:rsid w:val="00FC75EF"/>
    <w:rsid w:val="00FD06AB"/>
    <w:rsid w:val="00FD16C2"/>
    <w:rsid w:val="00FD1C9D"/>
    <w:rsid w:val="00FD2C26"/>
    <w:rsid w:val="00FD32BF"/>
    <w:rsid w:val="00FD4907"/>
    <w:rsid w:val="00FD4A82"/>
    <w:rsid w:val="00FD5BED"/>
    <w:rsid w:val="00FD6444"/>
    <w:rsid w:val="00FE005B"/>
    <w:rsid w:val="00FE0648"/>
    <w:rsid w:val="00FE3911"/>
    <w:rsid w:val="00FE57F0"/>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9956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00079">
      <w:bodyDiv w:val="1"/>
      <w:marLeft w:val="0"/>
      <w:marRight w:val="0"/>
      <w:marTop w:val="0"/>
      <w:marBottom w:val="0"/>
      <w:divBdr>
        <w:top w:val="none" w:sz="0" w:space="0" w:color="auto"/>
        <w:left w:val="none" w:sz="0" w:space="0" w:color="auto"/>
        <w:bottom w:val="none" w:sz="0" w:space="0" w:color="auto"/>
        <w:right w:val="none" w:sz="0" w:space="0" w:color="auto"/>
      </w:divBdr>
    </w:div>
    <w:div w:id="20994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5999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374</cp:revision>
  <cp:lastPrinted>2020-02-05T14:19:00Z</cp:lastPrinted>
  <dcterms:created xsi:type="dcterms:W3CDTF">2017-07-10T11:03:00Z</dcterms:created>
  <dcterms:modified xsi:type="dcterms:W3CDTF">2024-10-14T13:14:00Z</dcterms:modified>
</cp:coreProperties>
</file>